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25</w:t>
      </w:r>
    </w:p>
    <w:p>
      <w:r>
        <w:t>Bundesgericht (BGE), 1973-06-27, IT</w:t>
      </w:r>
    </w:p>
    <w:p>
      <w:r>
        <w:rPr>
          <w:b/>
        </w:rPr>
        <w:t xml:space="preserve">Quelle: </w:t>
      </w:r>
      <w:r>
        <w:t>https://mcp.opencaselaw.ch/entscheid/bge_99 III 25</w:t>
      </w:r>
    </w:p>
    <w:p>
      <w:r>
        <w:t>FR: ATF 99 III 25</w:t>
      </w:r>
    </w:p>
    <w:p>
      <w:r>
        <w:t>IT: DTF 99 III 25</w:t>
      </w:r>
    </w:p>
    <w:p>
      <w:pPr>
        <w:pStyle w:val="Heading2"/>
      </w:pPr>
      <w:r>
        <w:t>Regeste</w:t>
      </w:r>
    </w:p>
    <w:p>
      <w:r>
        <w:t>Regeste Lastenverzeichnis, Art. 125 VZG. Die Aufnahme verfallener Hypothekarzinsen unter die Konkursforderungen (Art. 246 SchKG) kann wegen verspäteter Anmeldung dieser Zinsen nicht durch gerichtliche Klage, sondern nur durch Beschwerde an die Aufsichtsbehörde angefochten werden.</w:t>
      </w:r>
    </w:p>
    <w:p>
      <w:pPr>
        <w:pStyle w:val="Heading2"/>
      </w:pPr>
      <w:r>
        <w:t>Erwägungen</w:t>
      </w:r>
    </w:p>
    <w:p>
      <w:r>
        <w:rPr>
          <w:b/>
        </w:rPr>
        <w:t>E. 3</w:t>
      </w:r>
    </w:p>
    <w:p>
      <w:r>
        <w:t>Secondo l'art. 246 LEF, i crediti risultanti dai registri fondiari o ipotecari e i relativi interessi in corso devono esser compresi nelle passività fallimentari; e ciò anche se non furono annunciati. Per contro gli interessi scaduti possono essere ammessi solo se notificati (FRITZSCHE, vol. II p. 142; JAEGER, N. 3 all'art. 246 LEF). Nella sua petizione del 20 aprile 1972, la ricorrente non ha contestato la fondatezza del diritto materiale della controparte all'iscrizione nell'elenco degli interessi a decorrere dal 10 gennaio 1968. Essa si è limitata a far rilevare che quelli maturati fino al 31 marzo 1972 erano scaduti e a chiedere che i relativi importi, non essendo stati annunciati nel termine (1o aprile 1972) fissato dall'Ufficio per notificare le pretese ipotecarie sull'immobile, fossero esclusi dall'elenco oneri. A sostegno della sua tesi, la ricorrente invoca l'art. 246, ma questa norma, essendo intesa a stabilire una regola per l'allestimento della graduatoria, è di preminente carattere procedurale. È evidentemente di natura formale in quanto prescrive che devono essere ammessi, come crediti garantiti da pegno, gli interessi in corso, anche se non notificati. Di diversa natura non poteva pertanto essere neppure la questione posta dalla ricorrente, di sapere se, sulla base della stessa norma, dovevano essere esclusi dall'elenco oneri gli interessi scaduti e non tempestivamente notificati. A giusta ragione, quindi, i tribunali cantonali hanno ritenuto che l'impugnazione della ricorrente poteva essere fatta valere solo mediante reclamo all'autorità di vigilanza e che era pertanto improponibile in sede giudiziaria. Tale è anche la conclusione chiaramente espressa nella dottrina (FAVRE, Cours de droit de poursuites II ed. p. 337). Peraltro, la Corte cantonale ha fatto rilevare che l'Ufficio di Mendrisio aveva avuto conoscenza delle pretese per gli interessi scaduti di cui si tratta da precedenti notifiche, segnatamente da una lettera del 23 febbraio 1971, così che tali pretese dovevano essere inserite nella graduatoria già per questo motivo.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